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993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Проект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ЗАКОН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Алтайского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709" w:right="707"/>
        <w:jc w:val="center"/>
        <w:spacing w:after="0" w:line="240" w:lineRule="auto"/>
        <w:widowControl w:val="off"/>
        <w:tabs>
          <w:tab w:val="left" w:pos="709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0"/>
          <w:lang w:eastAsia="ru-RU"/>
        </w:rPr>
        <w:t xml:space="preserve">О внесении изменени</w:t>
      </w:r>
      <w:r>
        <w:rPr>
          <w:rFonts w:ascii="PT Astra Serif" w:hAnsi="PT Astra Serif" w:eastAsia="PT Astra Serif" w:cs="PT Astra Serif"/>
          <w:b/>
          <w:sz w:val="28"/>
          <w:szCs w:val="20"/>
          <w:lang w:eastAsia="ru-RU"/>
        </w:rPr>
        <w:t xml:space="preserve">я </w:t>
      </w:r>
      <w:r>
        <w:rPr>
          <w:rFonts w:ascii="PT Astra Serif" w:hAnsi="PT Astra Serif" w:eastAsia="PT Astra Serif" w:cs="PT Astra Serif"/>
          <w:b/>
          <w:sz w:val="28"/>
          <w:szCs w:val="20"/>
          <w:highlight w:val="white"/>
          <w:lang w:eastAsia="ru-RU"/>
        </w:rPr>
        <w:t xml:space="preserve">в статью 7</w:t>
      </w:r>
      <w:r>
        <w:rPr>
          <w:rFonts w:ascii="PT Astra Serif" w:hAnsi="PT Astra Serif" w:eastAsia="PT Astra Serif" w:cs="PT Astra Serif"/>
          <w:b/>
          <w:sz w:val="28"/>
          <w:szCs w:val="20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0"/>
          <w:lang w:eastAsia="ru-RU"/>
        </w:rPr>
        <w:t xml:space="preserve">закон</w:t>
      </w:r>
      <w:r>
        <w:rPr>
          <w:rFonts w:ascii="PT Astra Serif" w:hAnsi="PT Astra Serif" w:eastAsia="PT Astra Serif" w:cs="PT Astra Serif"/>
          <w:b/>
          <w:sz w:val="28"/>
          <w:szCs w:val="20"/>
          <w:lang w:eastAsia="ru-RU"/>
        </w:rPr>
        <w:t xml:space="preserve"> Алтайского края</w:t>
      </w:r>
      <w:r>
        <w:rPr>
          <w:rFonts w:ascii="PT Astra Serif" w:hAnsi="PT Astra Serif" w:eastAsia="PT Astra Serif" w:cs="PT Astra Serif"/>
          <w:b/>
          <w:sz w:val="28"/>
          <w:szCs w:val="20"/>
          <w:lang w:eastAsia="ru-RU"/>
        </w:rPr>
        <w:br/>
        <w:t xml:space="preserve">«О Правительстве Алтайского края»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709" w:right="707"/>
        <w:jc w:val="center"/>
        <w:spacing w:after="0" w:afterAutospacing="0" w:line="240" w:lineRule="auto"/>
        <w:widowControl w:val="off"/>
        <w:tabs>
          <w:tab w:val="left" w:pos="709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Статья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 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Внести в </w:t>
      </w:r>
      <w:hyperlink r:id="rId8" w:tooltip="https://login.consultant.ru/link/?req=doc&amp;base=RLAW016&amp;n=126094&amp;dst=1" w:history="1">
        <w:r>
          <w:rPr>
            <w:rFonts w:ascii="PT Astra Serif" w:hAnsi="PT Astra Serif" w:eastAsia="PT Astra Serif" w:cs="PT Astra Serif"/>
            <w:sz w:val="28"/>
            <w:szCs w:val="28"/>
            <w:highlight w:val="white"/>
          </w:rPr>
          <w:t xml:space="preserve">статью 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закона Алтайского края от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сентября 20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года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 </w:t>
      </w:r>
      <w:r/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68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-ЗС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 Правительстве Алтайского края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(Официальный интернет-портал</w:t>
        <w:br/>
        <w:t xml:space="preserve">правовой информации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(</w:t>
      </w:r>
      <w:hyperlink r:id="rId9" w:tooltip="www.pravo.gov.ru" w:history="1">
        <w:r>
          <w:rPr>
            <w:rFonts w:ascii="PT Astra Serif" w:hAnsi="PT Astra Serif" w:eastAsia="PT Astra Serif" w:cs="PT Astra Serif"/>
            <w:sz w:val="28"/>
            <w:szCs w:val="28"/>
            <w:highlight w:val="white"/>
          </w:rPr>
          <w:t xml:space="preserve">www.pravo.gov.ru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),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 сентября 2015 года,</w:t>
        <w:br/>
        <w:t xml:space="preserve">6 марта 2017 года, 10 мая 2017 года, 27 декабря 2018 года, 7 мая 2019 года,</w:t>
        <w:br/>
        <w:t xml:space="preserve">2 декабря 2021 года, 1 сентября 2022 года, 7 ноября 2023 года,</w:t>
        <w:br/>
        <w:t xml:space="preserve">2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октября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2025 года)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изменение,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дополнив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пунктом 13.2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следующего</w:t>
        <w:br/>
        <w:t xml:space="preserve">содержания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«13.2) осуществляет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полномочия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предусмотренные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Законом Российской</w:t>
        <w:br/>
        <w:t xml:space="preserve">Федерации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t xml:space="preserve">от 14 января 1993 года №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 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t xml:space="preserve">4292-1 «Об увековечении памяти погибших</w:t>
        <w:br/>
        <w:t xml:space="preserve">при защите Отечества» и Ф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едеральным </w:t>
      </w:r>
      <w:hyperlink r:id="rId10" w:tooltip="https://login.consultant.ru/link/?req=doc&amp;base=LAW&amp;n=503564" w:history="1">
        <w:r>
          <w:rPr>
            <w:rFonts w:ascii="PT Astra Serif" w:hAnsi="PT Astra Serif" w:eastAsia="PT Astra Serif" w:cs="PT Astra Serif"/>
            <w:sz w:val="28"/>
            <w:szCs w:val="28"/>
            <w:highlight w:val="white"/>
          </w:rPr>
          <w:t xml:space="preserve">закон</w:t>
        </w:r>
        <w:r>
          <w:rPr>
            <w:rFonts w:ascii="PT Astra Serif" w:hAnsi="PT Astra Serif" w:eastAsia="PT Astra Serif" w:cs="PT Astra Serif"/>
            <w:sz w:val="28"/>
            <w:szCs w:val="28"/>
            <w:highlight w:val="white"/>
          </w:rPr>
          <w:t xml:space="preserve">о</w:t>
        </w:r>
        <w:r>
          <w:rPr>
            <w:rFonts w:ascii="PT Astra Serif" w:hAnsi="PT Astra Serif" w:eastAsia="PT Astra Serif" w:cs="PT Astra Serif"/>
            <w:sz w:val="28"/>
            <w:szCs w:val="28"/>
            <w:highlight w:val="white"/>
          </w:rPr>
          <w:t xml:space="preserve">м</w:t>
        </w:r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от 21 апреля 2025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74-ФЗ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Об увековечении памяти жертв геноцида советского народа в период Великой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Отечест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венной войны 1941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1945 годов»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bCs/>
          <w:sz w:val="28"/>
          <w:szCs w:val="28"/>
          <w:highlight w:val="white"/>
        </w:rPr>
        <w:t xml:space="preserve">Реализация указанных полномочий</w:t>
        <w:br/>
        <w:t xml:space="preserve">может быть возложена нормативным правовым актом Губернатора Алтайского</w:t>
        <w:br/>
        <w:t xml:space="preserve">края на иной исполнительный орган Алтайского края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bookmarkStart w:id="0" w:name="_GoBack"/>
      <w:r>
        <w:rPr>
          <w:rFonts w:ascii="PT Astra Serif" w:hAnsi="PT Astra Serif" w:eastAsia="PT Astra Serif" w:cs="PT Astra Serif"/>
          <w:highlight w:val="white"/>
        </w:rPr>
      </w:r>
      <w:bookmarkEnd w:id="0"/>
      <w:r>
        <w:rPr>
          <w:rFonts w:ascii="PT Astra Serif" w:hAnsi="PT Astra Serif" w:cs="PT Astra Serif"/>
          <w:sz w:val="28"/>
          <w:szCs w:val="28"/>
          <w:highlight w:val="none"/>
        </w:rPr>
        <w:t xml:space="preserve">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  <w:highlight w:val="white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  <w:highlight w:val="white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Статья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 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2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Настоящий Закон вступает в силу со дня его официального опубликования.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left="0" w:right="0" w:firstLine="709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afterAutospacing="0" w:line="240" w:lineRule="auto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eastAsia="PT Astra Serif" w:cs="PT Astra Serif"/>
          <w:sz w:val="32"/>
          <w:szCs w:val="32"/>
        </w:rPr>
      </w:r>
    </w:p>
    <w:p>
      <w:pPr>
        <w:spacing w:after="0" w:afterAutospacing="0" w:line="240" w:lineRule="auto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eastAsia="PT Astra Serif" w:cs="PT Astra Serif"/>
          <w:sz w:val="32"/>
          <w:szCs w:val="32"/>
        </w:rPr>
      </w:r>
    </w:p>
    <w:p>
      <w:pPr>
        <w:spacing w:after="0" w:afterAutospacing="0" w:line="240" w:lineRule="auto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tbl>
      <w:tblPr>
        <w:tblW w:w="1002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926"/>
        <w:gridCol w:w="5102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ind w:left="0"/>
              <w:jc w:val="both"/>
              <w:spacing w:after="57" w:afterAutospacing="0" w:line="238" w:lineRule="exac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Губернатора Алтайского края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right="31" w:firstLine="720"/>
              <w:jc w:val="right"/>
              <w:spacing w:after="57" w:afterAutospacing="0" w:line="238" w:lineRule="exac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Томенко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16&amp;n=126094&amp;dst=1" TargetMode="External"/><Relationship Id="rId9" Type="http://schemas.openxmlformats.org/officeDocument/2006/relationships/hyperlink" Target="www.pravo.gov.ru" TargetMode="External"/><Relationship Id="rId10" Type="http://schemas.openxmlformats.org/officeDocument/2006/relationships/hyperlink" Target="https://login.consultant.ru/link/?req=doc&amp;base=LAW&amp;n=50356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А. Бубнов</dc:creator>
  <cp:keywords/>
  <dc:description/>
  <cp:lastModifiedBy>zolotarev@adm22.alt</cp:lastModifiedBy>
  <cp:revision>6</cp:revision>
  <dcterms:created xsi:type="dcterms:W3CDTF">2026-03-31T06:25:00Z</dcterms:created>
  <dcterms:modified xsi:type="dcterms:W3CDTF">2026-04-14T05:23:23Z</dcterms:modified>
</cp:coreProperties>
</file>